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FJKZB-682062024</w:t>
      </w:r>
    </w:p>
    <w:p>
      <w:pPr>
        <w:pStyle w:val="11"/>
        <w:spacing w:line="640" w:lineRule="exact"/>
        <w:ind w:left="0" w:leftChars="0"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福建省女子监狱电力增容项目预算编制单位选取项目</w:t>
      </w:r>
    </w:p>
    <w:p>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福建省女子监狱电力增容项目预算编制单位选取项目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FJKZB-682062024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福建省女子监狱电力增容项目预算编制单位选取项目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3</w:t>
      </w:r>
      <w:r>
        <w:rPr>
          <w:rFonts w:hint="eastAsia" w:ascii="宋体" w:hAnsi="宋体"/>
          <w:b w:val="0"/>
          <w:bCs w:val="0"/>
          <w:color w:val="auto"/>
          <w:sz w:val="24"/>
          <w:highlight w:val="none"/>
        </w:rPr>
        <w:t>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11</w:t>
      </w:r>
      <w:r>
        <w:rPr>
          <w:rFonts w:hint="eastAsia" w:ascii="宋体" w:hAnsi="宋体"/>
          <w:b w:val="0"/>
          <w:bCs w:val="0"/>
          <w:color w:val="auto"/>
          <w:sz w:val="24"/>
          <w:highlight w:val="none"/>
        </w:rPr>
        <w:t>日   16:30:00</w:t>
      </w:r>
      <w:bookmarkStart w:id="20" w:name="_GoBack"/>
      <w:bookmarkEnd w:id="20"/>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30"/>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1"/>
          <w:color w:val="auto"/>
          <w:highlight w:val="none"/>
        </w:rPr>
      </w:pPr>
      <w:r>
        <w:rPr>
          <w:rStyle w:val="31"/>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507</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朱</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000000"/>
          <w:sz w:val="24"/>
        </w:rPr>
        <w:t>0591-2350</w:t>
      </w:r>
      <w:r>
        <w:rPr>
          <w:rFonts w:hint="eastAsia" w:ascii="宋体" w:hAnsi="宋体" w:cs="宋体"/>
          <w:color w:val="000000"/>
          <w:sz w:val="24"/>
          <w:lang w:val="en-US" w:eastAsia="zh-CN"/>
        </w:rPr>
        <w:t>6036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pPr>
        <w:widowControl/>
        <w:spacing w:line="360" w:lineRule="auto"/>
        <w:ind w:firstLine="480" w:firstLineChars="200"/>
        <w:jc w:val="left"/>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6"/>
          <w:rFonts w:ascii="宋体" w:hAnsi="宋体" w:cs="宋体"/>
          <w:color w:val="auto"/>
          <w:sz w:val="24"/>
          <w:highlight w:val="none"/>
        </w:rPr>
        <w:t>http://121.42.9.114:8083/</w:t>
      </w:r>
      <w:r>
        <w:rPr>
          <w:rFonts w:ascii="宋体" w:hAnsi="宋体" w:cs="宋体"/>
          <w:color w:val="auto"/>
          <w:sz w:val="24"/>
          <w:highlight w:val="none"/>
        </w:rPr>
        <w:fldChar w:fldCharType="end"/>
      </w:r>
      <w:r>
        <w:rPr>
          <w:rStyle w:val="31"/>
          <w:rFonts w:hint="eastAsia" w:ascii="宋体" w:hAnsi="宋体" w:cs="宋体"/>
          <w:color w:val="auto"/>
          <w:kern w:val="0"/>
          <w:sz w:val="24"/>
          <w:highlight w:val="none"/>
        </w:rPr>
        <w:t>）上进行注册、报名（上传响应文件）、网上竞价等相关操作，具体操作指南详见网上竞价平台（网址：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highlight w:val="none"/>
        </w:rPr>
        <w:t>）</w:t>
      </w:r>
      <w:r>
        <w:rPr>
          <w:rStyle w:val="31"/>
          <w:rFonts w:hint="eastAsia" w:ascii="宋体" w:hAnsi="宋体" w:cs="宋体"/>
          <w:b/>
          <w:bCs/>
          <w:color w:val="auto"/>
          <w:kern w:val="0"/>
          <w:sz w:val="24"/>
          <w:highlight w:val="none"/>
        </w:rPr>
        <w:t>。</w:t>
      </w:r>
      <w:r>
        <w:rPr>
          <w:rStyle w:val="31"/>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1"/>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1"/>
          <w:rFonts w:hint="eastAsia" w:ascii="Times New Roman" w:hAnsi="Times New Roman" w:cs="Times New Roman"/>
          <w:b/>
          <w:bCs/>
          <w:color w:val="auto"/>
          <w:sz w:val="24"/>
          <w:highlight w:val="none"/>
        </w:rPr>
        <w:t>（除“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1"/>
          <w:rFonts w:ascii="宋体" w:hAnsi="宋体"/>
          <w:color w:val="auto"/>
          <w:kern w:val="0"/>
          <w:sz w:val="24"/>
          <w:highlight w:val="none"/>
        </w:rPr>
      </w:pPr>
      <w:r>
        <w:rPr>
          <w:rStyle w:val="31"/>
          <w:rFonts w:hint="eastAsia" w:ascii="宋体" w:hAnsi="宋体"/>
          <w:color w:val="auto"/>
          <w:kern w:val="0"/>
          <w:sz w:val="24"/>
          <w:highlight w:val="none"/>
        </w:rPr>
        <w:t>2.供应商</w:t>
      </w:r>
      <w:r>
        <w:rPr>
          <w:rStyle w:val="31"/>
          <w:rFonts w:ascii="宋体" w:hAnsi="宋体"/>
          <w:color w:val="auto"/>
          <w:kern w:val="0"/>
          <w:sz w:val="24"/>
          <w:highlight w:val="none"/>
        </w:rPr>
        <w:t>首次提交的报价</w:t>
      </w:r>
      <w:r>
        <w:rPr>
          <w:rStyle w:val="31"/>
          <w:rFonts w:hint="eastAsia" w:ascii="宋体" w:hAnsi="宋体"/>
          <w:color w:val="auto"/>
          <w:kern w:val="0"/>
          <w:sz w:val="24"/>
          <w:highlight w:val="none"/>
        </w:rPr>
        <w:t>总价</w:t>
      </w:r>
      <w:r>
        <w:rPr>
          <w:rStyle w:val="31"/>
          <w:rFonts w:ascii="宋体" w:hAnsi="宋体"/>
          <w:color w:val="auto"/>
          <w:kern w:val="0"/>
          <w:sz w:val="24"/>
          <w:highlight w:val="none"/>
        </w:rPr>
        <w:t>须</w:t>
      </w:r>
      <w:r>
        <w:rPr>
          <w:rStyle w:val="31"/>
          <w:rFonts w:hint="eastAsia" w:ascii="宋体" w:hAnsi="宋体"/>
          <w:color w:val="auto"/>
          <w:kern w:val="0"/>
          <w:sz w:val="24"/>
          <w:highlight w:val="none"/>
        </w:rPr>
        <w:t>低于</w:t>
      </w:r>
      <w:r>
        <w:rPr>
          <w:rStyle w:val="31"/>
          <w:rFonts w:ascii="宋体" w:hAnsi="宋体"/>
          <w:color w:val="auto"/>
          <w:kern w:val="0"/>
          <w:sz w:val="24"/>
          <w:highlight w:val="none"/>
        </w:rPr>
        <w:t>本项目</w:t>
      </w:r>
      <w:r>
        <w:rPr>
          <w:rStyle w:val="31"/>
          <w:rFonts w:hint="eastAsia" w:ascii="宋体" w:hAnsi="宋体"/>
          <w:color w:val="auto"/>
          <w:kern w:val="0"/>
          <w:sz w:val="24"/>
          <w:highlight w:val="none"/>
        </w:rPr>
        <w:t>总价</w:t>
      </w:r>
      <w:r>
        <w:rPr>
          <w:rStyle w:val="31"/>
          <w:rFonts w:ascii="宋体" w:hAnsi="宋体"/>
          <w:color w:val="auto"/>
          <w:kern w:val="0"/>
          <w:sz w:val="24"/>
          <w:highlight w:val="none"/>
        </w:rPr>
        <w:t>最高限价</w:t>
      </w:r>
      <w:r>
        <w:rPr>
          <w:rStyle w:val="31"/>
          <w:rFonts w:hint="eastAsia" w:ascii="宋体" w:hAnsi="宋体"/>
          <w:color w:val="auto"/>
          <w:kern w:val="0"/>
          <w:sz w:val="24"/>
          <w:highlight w:val="none"/>
        </w:rPr>
        <w:t>的</w:t>
      </w:r>
      <w:r>
        <w:rPr>
          <w:rStyle w:val="31"/>
          <w:rFonts w:ascii="宋体" w:hAnsi="宋体"/>
          <w:color w:val="auto"/>
          <w:kern w:val="0"/>
          <w:sz w:val="24"/>
          <w:highlight w:val="none"/>
        </w:rPr>
        <w:t>3%</w:t>
      </w:r>
      <w:r>
        <w:rPr>
          <w:rStyle w:val="31"/>
          <w:rFonts w:hint="eastAsia" w:ascii="宋体" w:hAnsi="宋体"/>
          <w:color w:val="auto"/>
          <w:kern w:val="0"/>
          <w:sz w:val="24"/>
          <w:highlight w:val="none"/>
        </w:rPr>
        <w:t>以上（不含</w:t>
      </w:r>
      <w:r>
        <w:rPr>
          <w:rStyle w:val="31"/>
          <w:rFonts w:ascii="宋体" w:hAnsi="宋体"/>
          <w:color w:val="auto"/>
          <w:kern w:val="0"/>
          <w:sz w:val="24"/>
          <w:highlight w:val="none"/>
        </w:rPr>
        <w:t>3%</w:t>
      </w:r>
      <w:r>
        <w:rPr>
          <w:rStyle w:val="31"/>
          <w:rFonts w:hint="eastAsia" w:ascii="宋体" w:hAnsi="宋体"/>
          <w:color w:val="auto"/>
          <w:kern w:val="0"/>
          <w:sz w:val="24"/>
          <w:highlight w:val="none"/>
        </w:rPr>
        <w:t>）</w:t>
      </w:r>
      <w:r>
        <w:rPr>
          <w:rStyle w:val="31"/>
          <w:rFonts w:ascii="宋体" w:hAnsi="宋体"/>
          <w:color w:val="auto"/>
          <w:kern w:val="0"/>
          <w:sz w:val="24"/>
          <w:highlight w:val="none"/>
        </w:rPr>
        <w:t>，否则</w:t>
      </w:r>
      <w:r>
        <w:rPr>
          <w:rStyle w:val="31"/>
          <w:rFonts w:ascii="宋体" w:hAnsi="宋体" w:cs="宋体"/>
          <w:color w:val="auto"/>
          <w:kern w:val="0"/>
          <w:sz w:val="24"/>
          <w:highlight w:val="none"/>
        </w:rPr>
        <w:t>视为无效报价</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1"/>
          <w:rFonts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1"/>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30567034"/>
      <w:bookmarkStart w:id="4" w:name="_Toc347060296"/>
      <w:bookmarkStart w:id="5" w:name="_Toc327948617"/>
      <w:bookmarkStart w:id="6" w:name="_Toc346300367"/>
      <w:r>
        <w:rPr>
          <w:rFonts w:hint="eastAsia" w:ascii="宋体" w:hAnsi="宋体" w:cs="宋体"/>
          <w:b/>
          <w:color w:val="auto"/>
          <w:sz w:val="24"/>
          <w:highlight w:val="none"/>
        </w:rPr>
        <w:t>一、项目概述</w:t>
      </w:r>
      <w:bookmarkEnd w:id="1"/>
      <w:bookmarkEnd w:id="2"/>
    </w:p>
    <w:p>
      <w:pPr>
        <w:pStyle w:val="32"/>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福建省女子监狱电力增容项目预算编制单位选取</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000000"/>
                <w:kern w:val="0"/>
                <w:sz w:val="24"/>
                <w:szCs w:val="24"/>
                <w:highlight w:val="none"/>
              </w:rPr>
              <w:t>1项</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50777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伍万零柒佰柒拾柒元整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新宋体"/>
                <w:color w:val="auto"/>
                <w:kern w:val="0"/>
                <w:sz w:val="24"/>
                <w:highlight w:val="none"/>
                <w:lang w:val="en-US" w:eastAsia="zh-CN"/>
              </w:rPr>
              <w:t>50777</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bl>
    <w:p>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福建省女子监狱电力增容项目预算编制单位选取项目，</w:t>
      </w:r>
      <w:r>
        <w:rPr>
          <w:rFonts w:hint="eastAsia" w:cs="宋体"/>
          <w:b w:val="0"/>
          <w:bCs/>
          <w:color w:val="auto"/>
          <w:sz w:val="24"/>
          <w:highlight w:val="none"/>
        </w:rPr>
        <w:t>预算金额</w:t>
      </w:r>
      <w:r>
        <w:rPr>
          <w:rFonts w:hint="eastAsia" w:cs="宋体"/>
          <w:b w:val="0"/>
          <w:bCs/>
          <w:color w:val="auto"/>
          <w:sz w:val="24"/>
          <w:highlight w:val="none"/>
          <w:lang w:val="en-US" w:eastAsia="zh-CN"/>
        </w:rPr>
        <w:t>5.0777万</w:t>
      </w:r>
      <w:r>
        <w:rPr>
          <w:rFonts w:hint="eastAsia" w:cs="宋体"/>
          <w:b w:val="0"/>
          <w:bCs/>
          <w:color w:val="auto"/>
          <w:sz w:val="24"/>
          <w:highlight w:val="none"/>
        </w:rPr>
        <w:t>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本项目为总价包干的形式，</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cs="宋体"/>
          <w:b/>
          <w:bCs/>
          <w:color w:val="auto"/>
          <w:sz w:val="24"/>
          <w:highlight w:val="none"/>
          <w:lang w:val="en-US" w:eastAsia="zh-CN"/>
        </w:rPr>
        <w:t>6、</w:t>
      </w:r>
      <w:r>
        <w:rPr>
          <w:rFonts w:hint="eastAsia" w:ascii="宋体" w:hAnsi="宋体" w:eastAsia="宋体" w:cs="宋体"/>
          <w:b/>
          <w:bCs/>
          <w:color w:val="000000"/>
          <w:sz w:val="24"/>
          <w:szCs w:val="24"/>
          <w:lang w:val="en-US" w:eastAsia="zh-CN"/>
        </w:rPr>
        <w:t>成交供应商只允许参与</w:t>
      </w:r>
      <w:r>
        <w:rPr>
          <w:rFonts w:hint="eastAsia" w:cs="宋体"/>
          <w:b/>
          <w:bCs/>
          <w:color w:val="auto"/>
          <w:sz w:val="24"/>
          <w:highlight w:val="none"/>
          <w:lang w:eastAsia="zh-CN"/>
        </w:rPr>
        <w:t>福建省女子监狱电力增容项目</w:t>
      </w:r>
      <w:r>
        <w:rPr>
          <w:rFonts w:hint="eastAsia" w:ascii="宋体" w:hAnsi="宋体" w:eastAsia="宋体" w:cs="宋体"/>
          <w:b/>
          <w:bCs/>
          <w:color w:val="000000"/>
          <w:sz w:val="24"/>
          <w:szCs w:val="24"/>
          <w:lang w:val="en-US" w:eastAsia="zh-CN"/>
        </w:rPr>
        <w:t>预算编制工作，不得参与</w:t>
      </w:r>
      <w:r>
        <w:rPr>
          <w:rFonts w:hint="eastAsia" w:cs="宋体"/>
          <w:b/>
          <w:bCs/>
          <w:color w:val="auto"/>
          <w:sz w:val="24"/>
          <w:highlight w:val="none"/>
          <w:lang w:eastAsia="zh-CN"/>
        </w:rPr>
        <w:t>福建省女子监狱电力增容项目预算</w:t>
      </w:r>
      <w:r>
        <w:rPr>
          <w:rFonts w:hint="eastAsia" w:ascii="宋体" w:hAnsi="宋体" w:eastAsia="宋体" w:cs="宋体"/>
          <w:b/>
          <w:bCs/>
          <w:color w:val="000000"/>
          <w:sz w:val="24"/>
          <w:szCs w:val="24"/>
          <w:lang w:val="en-US" w:eastAsia="zh-CN"/>
        </w:rPr>
        <w:t>审核</w:t>
      </w:r>
      <w:r>
        <w:rPr>
          <w:rFonts w:hint="eastAsia" w:cs="宋体"/>
          <w:b/>
          <w:bCs/>
          <w:color w:val="auto"/>
          <w:sz w:val="24"/>
          <w:highlight w:val="none"/>
          <w:lang w:eastAsia="zh-CN"/>
        </w:rPr>
        <w:t>工作、</w:t>
      </w:r>
      <w:r>
        <w:rPr>
          <w:rFonts w:hint="eastAsia" w:ascii="宋体" w:hAnsi="宋体" w:eastAsia="宋体" w:cs="宋体"/>
          <w:b/>
          <w:bCs/>
          <w:color w:val="000000"/>
          <w:sz w:val="24"/>
          <w:szCs w:val="24"/>
          <w:lang w:val="en-US" w:eastAsia="zh-CN"/>
        </w:rPr>
        <w:t>结算审核工作，否则其响应无效。</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default" w:ascii="宋体" w:hAnsi="宋体" w:eastAsia="宋体" w:cs="宋体"/>
          <w:color w:val="auto"/>
          <w:sz w:val="24"/>
          <w:highlight w:val="none"/>
          <w:lang w:val="en-US" w:eastAsia="zh-CN"/>
        </w:rPr>
      </w:pPr>
    </w:p>
    <w:p>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承接范围</w:t>
      </w:r>
    </w:p>
    <w:p>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rPr>
        <w:t>造价咨询服务</w:t>
      </w:r>
      <w:r>
        <w:rPr>
          <w:rFonts w:hint="eastAsia" w:ascii="宋体" w:hAnsi="宋体" w:eastAsia="宋体" w:cs="宋体"/>
          <w:color w:val="000000"/>
          <w:sz w:val="24"/>
          <w:szCs w:val="24"/>
          <w:highlight w:val="none"/>
        </w:rPr>
        <w:t>（包含工程量清单编制、预算编制服务等内容）。</w:t>
      </w:r>
      <w:r>
        <w:rPr>
          <w:rFonts w:hint="eastAsia" w:ascii="宋体" w:hAnsi="宋体" w:eastAsia="宋体" w:cs="宋体"/>
          <w:color w:val="000000"/>
          <w:kern w:val="0"/>
          <w:sz w:val="24"/>
          <w:szCs w:val="24"/>
          <w:highlight w:val="none"/>
          <w:lang w:val="zh-CN"/>
        </w:rPr>
        <w:t>服务范围：工程预算编制、协助采购人配合项目的清单核对工作、主要材料（设备）的品牌推荐及咨询</w:t>
      </w:r>
      <w:r>
        <w:rPr>
          <w:rFonts w:hint="eastAsia" w:ascii="宋体" w:hAnsi="宋体" w:cs="宋体"/>
          <w:color w:val="000000"/>
          <w:kern w:val="0"/>
          <w:sz w:val="24"/>
          <w:szCs w:val="24"/>
          <w:highlight w:val="none"/>
          <w:lang w:val="zh-CN"/>
        </w:rPr>
        <w:t>、须与预算审核工作公司进行背靠背对数</w:t>
      </w:r>
      <w:r>
        <w:rPr>
          <w:rFonts w:hint="eastAsia" w:ascii="宋体" w:hAnsi="宋体" w:eastAsia="宋体" w:cs="宋体"/>
          <w:color w:val="000000"/>
          <w:kern w:val="0"/>
          <w:sz w:val="24"/>
          <w:szCs w:val="24"/>
          <w:highlight w:val="none"/>
          <w:lang w:val="zh-CN"/>
        </w:rPr>
        <w:t>。</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服务要求</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000000"/>
          <w:sz w:val="24"/>
          <w:szCs w:val="24"/>
          <w:highlight w:val="none"/>
          <w:lang w:eastAsia="zh-CN"/>
        </w:rPr>
      </w:pPr>
      <w:r>
        <w:rPr>
          <w:rFonts w:hint="eastAsia" w:ascii="宋体" w:hAnsi="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lang w:val="en-US" w:eastAsia="zh-CN"/>
        </w:rPr>
        <w:t>.1</w:t>
      </w:r>
      <w:r>
        <w:rPr>
          <w:rFonts w:hint="eastAsia" w:ascii="宋体" w:hAnsi="宋体" w:eastAsia="宋体" w:cs="宋体"/>
          <w:b/>
          <w:bCs w:val="0"/>
          <w:color w:val="000000"/>
          <w:sz w:val="24"/>
          <w:szCs w:val="24"/>
          <w:highlight w:val="none"/>
        </w:rPr>
        <w:t>人员要求：供应商需承诺配备团队人员中至少配有造价人员3名</w:t>
      </w:r>
      <w:r>
        <w:rPr>
          <w:rFonts w:hint="eastAsia" w:ascii="宋体" w:hAnsi="宋体" w:cs="宋体"/>
          <w:b/>
          <w:bCs w:val="0"/>
          <w:color w:val="000000"/>
          <w:sz w:val="24"/>
          <w:szCs w:val="24"/>
          <w:highlight w:val="none"/>
          <w:lang w:eastAsia="zh-CN"/>
        </w:rPr>
        <w:t>（</w:t>
      </w:r>
      <w:r>
        <w:rPr>
          <w:rFonts w:hint="eastAsia" w:ascii="宋体" w:hAnsi="宋体" w:cs="宋体"/>
          <w:b/>
          <w:bCs w:val="0"/>
          <w:color w:val="000000"/>
          <w:sz w:val="24"/>
          <w:szCs w:val="24"/>
          <w:highlight w:val="none"/>
          <w:lang w:val="en-US" w:eastAsia="zh-CN"/>
        </w:rPr>
        <w:t>其中至少1名人员专业类别为土木建筑工程、1名人员专业类别为安装工程</w:t>
      </w:r>
      <w:r>
        <w:rPr>
          <w:rFonts w:hint="eastAsia" w:ascii="宋体" w:hAnsi="宋体" w:cs="宋体"/>
          <w:b/>
          <w:bCs w:val="0"/>
          <w:color w:val="000000"/>
          <w:sz w:val="24"/>
          <w:szCs w:val="24"/>
          <w:highlight w:val="none"/>
          <w:lang w:eastAsia="zh-CN"/>
        </w:rPr>
        <w:t>）</w:t>
      </w:r>
      <w:r>
        <w:rPr>
          <w:rFonts w:hint="eastAsia" w:ascii="宋体" w:hAnsi="宋体" w:eastAsia="宋体" w:cs="宋体"/>
          <w:b/>
          <w:bCs w:val="0"/>
          <w:color w:val="000000"/>
          <w:sz w:val="24"/>
          <w:szCs w:val="24"/>
          <w:highlight w:val="none"/>
        </w:rPr>
        <w:t>，以及书面形式授权一名项目负责人负责履行合同、主持项目团队工作，且项目负责人必须持有一级注册造价工程师证书或原住建部造价工程师注册证书。</w:t>
      </w:r>
      <w:r>
        <w:rPr>
          <w:rFonts w:hint="eastAsia" w:ascii="宋体" w:hAnsi="宋体" w:eastAsia="宋体" w:cs="宋体"/>
          <w:b/>
          <w:bCs w:val="0"/>
          <w:color w:val="000000"/>
          <w:sz w:val="24"/>
          <w:szCs w:val="24"/>
          <w:highlight w:val="none"/>
          <w:lang w:val="en-US" w:eastAsia="zh-CN"/>
        </w:rPr>
        <w:t>供应商须在响应文件中提供</w:t>
      </w:r>
      <w:r>
        <w:rPr>
          <w:rFonts w:hint="eastAsia" w:ascii="宋体" w:hAnsi="宋体" w:eastAsia="宋体" w:cs="宋体"/>
          <w:b/>
          <w:bCs w:val="0"/>
          <w:color w:val="000000"/>
          <w:sz w:val="24"/>
          <w:szCs w:val="24"/>
          <w:highlight w:val="none"/>
        </w:rPr>
        <w:t>团队人员</w:t>
      </w:r>
      <w:r>
        <w:rPr>
          <w:rFonts w:hint="eastAsia" w:ascii="宋体" w:hAnsi="宋体" w:eastAsia="宋体" w:cs="宋体"/>
          <w:b/>
          <w:bCs w:val="0"/>
          <w:color w:val="000000"/>
          <w:sz w:val="24"/>
          <w:szCs w:val="24"/>
          <w:highlight w:val="none"/>
          <w:lang w:val="en-US" w:eastAsia="zh-CN"/>
        </w:rPr>
        <w:t>承诺函及项目负责人的授权函</w:t>
      </w:r>
      <w:r>
        <w:rPr>
          <w:rFonts w:hint="eastAsia" w:ascii="宋体" w:hAnsi="宋体" w:cs="宋体"/>
          <w:b/>
          <w:bCs w:val="0"/>
          <w:color w:val="000000"/>
          <w:sz w:val="24"/>
          <w:szCs w:val="24"/>
          <w:highlight w:val="none"/>
          <w:lang w:val="en-US" w:eastAsia="zh-CN"/>
        </w:rPr>
        <w:t>、相关证书复印件</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sz w:val="24"/>
          <w:szCs w:val="24"/>
          <w:highlight w:val="none"/>
          <w:vertAlign w:val="baseline"/>
          <w:lang w:eastAsia="zh-CN"/>
        </w:rPr>
        <w:t>未提供或提供不齐全的按无效响应处理</w:t>
      </w:r>
      <w:r>
        <w:rPr>
          <w:rFonts w:hint="eastAsia" w:ascii="宋体" w:hAnsi="宋体" w:eastAsia="宋体" w:cs="宋体"/>
          <w:b/>
          <w:bCs w:val="0"/>
          <w:color w:val="000000"/>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.2在项目履行过程中，供应商</w:t>
      </w:r>
      <w:r>
        <w:rPr>
          <w:rFonts w:hint="eastAsia" w:ascii="宋体" w:hAnsi="宋体" w:eastAsia="宋体" w:cs="宋体"/>
          <w:color w:val="000000"/>
          <w:sz w:val="24"/>
          <w:szCs w:val="24"/>
          <w:highlight w:val="none"/>
          <w:lang w:val="en-US" w:eastAsia="zh-CN"/>
        </w:rPr>
        <w:t>工作人员</w:t>
      </w:r>
      <w:r>
        <w:rPr>
          <w:rFonts w:hint="eastAsia" w:ascii="宋体" w:hAnsi="宋体" w:eastAsia="宋体" w:cs="宋体"/>
          <w:color w:val="000000"/>
          <w:sz w:val="24"/>
          <w:szCs w:val="24"/>
          <w:highlight w:val="none"/>
        </w:rPr>
        <w:t>应保持相对稳定，以保证</w:t>
      </w:r>
      <w:r>
        <w:rPr>
          <w:rFonts w:hint="eastAsia" w:ascii="宋体" w:hAnsi="宋体" w:eastAsia="宋体" w:cs="宋体"/>
          <w:color w:val="000000"/>
          <w:sz w:val="24"/>
          <w:szCs w:val="24"/>
          <w:highlight w:val="none"/>
          <w:lang w:eastAsia="zh-CN"/>
        </w:rPr>
        <w:t>预算编制服务</w:t>
      </w:r>
      <w:r>
        <w:rPr>
          <w:rFonts w:hint="eastAsia" w:ascii="宋体" w:hAnsi="宋体" w:eastAsia="宋体" w:cs="宋体"/>
          <w:color w:val="000000"/>
          <w:sz w:val="24"/>
          <w:szCs w:val="24"/>
          <w:highlight w:val="none"/>
        </w:rPr>
        <w:t>工作正常进行。供应商可根据工程进展和工作需要等情形调整项目团队人员，但更换项目负责人时，应提前7日向采购人书面报告，经采购人同意后方可更换。更换项目团队其他人员时，应提前3日向采购人书面报告，</w:t>
      </w:r>
      <w:r>
        <w:rPr>
          <w:rFonts w:hint="eastAsia" w:ascii="宋体" w:hAnsi="宋体" w:eastAsia="宋体" w:cs="宋体"/>
          <w:bCs/>
          <w:color w:val="000000"/>
          <w:sz w:val="24"/>
          <w:szCs w:val="24"/>
          <w:highlight w:val="none"/>
        </w:rPr>
        <w:t>经采购人同意后以不低于同等资格与能力的人员替换</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.3预算编制服务人员有下列情形之一，委托人要求预算编制服务人更换的，</w:t>
      </w:r>
      <w:r>
        <w:rPr>
          <w:rFonts w:hint="eastAsia" w:ascii="宋体" w:hAnsi="宋体" w:eastAsia="宋体" w:cs="宋体"/>
          <w:color w:val="000000"/>
          <w:sz w:val="24"/>
          <w:szCs w:val="24"/>
          <w:highlight w:val="none"/>
        </w:rPr>
        <w:t>成交供应商</w:t>
      </w:r>
      <w:r>
        <w:rPr>
          <w:rFonts w:hint="eastAsia" w:ascii="宋体" w:hAnsi="宋体" w:eastAsia="宋体" w:cs="宋体"/>
          <w:color w:val="000000"/>
          <w:kern w:val="0"/>
          <w:sz w:val="24"/>
          <w:szCs w:val="24"/>
          <w:highlight w:val="none"/>
          <w:lang w:val="zh-CN"/>
        </w:rPr>
        <w:t>应当更换：</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（1）存在严重过失行为的；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（2）存在违法行为不能履行职责的；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（3）涉嫌犯罪的；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（4）不能胜任岗位职责的；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（5）严重违反职业道德的；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（6）专用条件约定的其他情形。</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.4预算编制服务人员专业应涵盖委托预算编制服务项目各专业，</w:t>
      </w:r>
      <w:r>
        <w:rPr>
          <w:rFonts w:hint="eastAsia" w:ascii="宋体" w:hAnsi="宋体" w:eastAsia="宋体" w:cs="宋体"/>
          <w:color w:val="000000"/>
          <w:kern w:val="0"/>
          <w:sz w:val="24"/>
          <w:szCs w:val="24"/>
          <w:highlight w:val="none"/>
          <w:lang w:val="en-US" w:eastAsia="zh-CN"/>
        </w:rPr>
        <w:t>成交供应商</w:t>
      </w:r>
      <w:r>
        <w:rPr>
          <w:rFonts w:hint="eastAsia" w:ascii="宋体" w:hAnsi="宋体" w:eastAsia="宋体" w:cs="宋体"/>
          <w:color w:val="000000"/>
          <w:kern w:val="0"/>
          <w:sz w:val="24"/>
          <w:szCs w:val="24"/>
          <w:highlight w:val="none"/>
          <w:lang w:val="zh-CN"/>
        </w:rPr>
        <w:t>应根据预算编制服务要求增派有关专业人员并且随叫随到，不得以人员不足为理由不按要求完成预算编制服务工作，亦不得以加派人员或加班等为由要求委托人额外支付费用。若出现</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lang w:val="zh-CN"/>
        </w:rPr>
        <w:t>人员工作中推三阻四，相互扯皮影响正常工作的行为，委托人有权向</w:t>
      </w:r>
      <w:r>
        <w:rPr>
          <w:rFonts w:hint="eastAsia" w:ascii="宋体" w:hAnsi="宋体" w:eastAsia="宋体" w:cs="宋体"/>
          <w:color w:val="000000"/>
          <w:kern w:val="0"/>
          <w:sz w:val="24"/>
          <w:szCs w:val="24"/>
          <w:highlight w:val="none"/>
          <w:lang w:val="en-US" w:eastAsia="zh-CN"/>
        </w:rPr>
        <w:t>成交供应商</w:t>
      </w:r>
      <w:r>
        <w:rPr>
          <w:rFonts w:hint="eastAsia" w:ascii="宋体" w:hAnsi="宋体" w:eastAsia="宋体" w:cs="宋体"/>
          <w:color w:val="000000"/>
          <w:kern w:val="0"/>
          <w:sz w:val="24"/>
          <w:szCs w:val="24"/>
          <w:highlight w:val="none"/>
          <w:lang w:val="zh-CN"/>
        </w:rPr>
        <w:t>提出更换人员的要求</w:t>
      </w:r>
      <w:r>
        <w:rPr>
          <w:rFonts w:hint="eastAsia" w:ascii="宋体" w:hAnsi="宋体" w:cs="宋体"/>
          <w:color w:val="000000"/>
          <w:kern w:val="0"/>
          <w:sz w:val="24"/>
          <w:szCs w:val="24"/>
          <w:highlight w:val="none"/>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.5向采购人提供有关资料的时间：根据具体委托项目内容双方在委托协议中另行商定，但在委托协议生效并在收到采购人提供的完整资料后，委托项目完成</w:t>
      </w:r>
      <w:r>
        <w:rPr>
          <w:rFonts w:hint="eastAsia" w:ascii="宋体" w:hAnsi="宋体" w:eastAsia="宋体" w:cs="宋体"/>
          <w:color w:val="000000"/>
          <w:sz w:val="24"/>
          <w:szCs w:val="24"/>
          <w:highlight w:val="none"/>
          <w:lang w:eastAsia="zh-CN"/>
        </w:rPr>
        <w:t>预算编制服务</w:t>
      </w:r>
      <w:r>
        <w:rPr>
          <w:rFonts w:hint="eastAsia" w:ascii="宋体" w:hAnsi="宋体" w:eastAsia="宋体" w:cs="宋体"/>
          <w:color w:val="000000"/>
          <w:sz w:val="24"/>
          <w:szCs w:val="24"/>
          <w:highlight w:val="none"/>
        </w:rPr>
        <w:t>并向采购人提供有关资料的时间不得超过</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.6质量标准：工程造价</w:t>
      </w:r>
      <w:r>
        <w:rPr>
          <w:rFonts w:hint="eastAsia" w:ascii="宋体" w:hAnsi="宋体" w:eastAsia="宋体" w:cs="宋体"/>
          <w:color w:val="000000"/>
          <w:sz w:val="24"/>
          <w:szCs w:val="24"/>
          <w:highlight w:val="none"/>
          <w:lang w:eastAsia="zh-CN"/>
        </w:rPr>
        <w:t>预算编制服务</w:t>
      </w:r>
      <w:r>
        <w:rPr>
          <w:rFonts w:hint="eastAsia" w:ascii="宋体" w:hAnsi="宋体" w:eastAsia="宋体" w:cs="宋体"/>
          <w:color w:val="000000"/>
          <w:sz w:val="24"/>
          <w:szCs w:val="24"/>
          <w:highlight w:val="none"/>
        </w:rPr>
        <w:t>成果文件应符合《建设工程造价咨询成果文件质量标准》CECA／GC7-2012及相关法律法规及行业规范。</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.7出具的成果文件要求：满足招标要求的纸质、电子档的</w:t>
      </w:r>
      <w:r>
        <w:rPr>
          <w:rFonts w:hint="eastAsia" w:ascii="宋体" w:hAnsi="宋体" w:cs="宋体"/>
          <w:color w:val="000000"/>
          <w:sz w:val="24"/>
          <w:szCs w:val="24"/>
          <w:highlight w:val="none"/>
          <w:lang w:val="en-US" w:eastAsia="zh-CN"/>
        </w:rPr>
        <w:t>造价咨询成果文件</w:t>
      </w:r>
      <w:r>
        <w:rPr>
          <w:rFonts w:hint="eastAsia" w:ascii="宋体" w:hAnsi="宋体" w:eastAsia="宋体" w:cs="宋体"/>
          <w:color w:val="000000"/>
          <w:sz w:val="24"/>
          <w:szCs w:val="24"/>
          <w:highlight w:val="none"/>
        </w:rPr>
        <w:t>各6套。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.7.1纸质资料包括：工程量清单、控制价、项目总投资汇总表（含工程建设其他费）、工程量计算书（需按层统计、汇总）等；</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.7.2电子档包括：与纸质内容相对应文档的预算软件格式、XML格式、EXCEL格式等。</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.7.3成交供应商须向采购人提供省、市有关规定招标时需要发布的下列相关数据；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采用经评审最低价评标办法须发布的①影响工程质量安全的基础、主体结构等主要分部分项工程及其预算造价的综合单价；②影响工程质量安全的脚手架、混凝土及钢筋混凝土模板、垂直运输机械、土方支护结构等措施项目及其预算造价的费用；③工程预算造价中环境保护费、文明施工费、安全施工费、临时设施费、大型机械检测费、优良工程施工增加费金额；④影响工程质量安全的钢材、商品混凝土、门窗、水泥、预制桩等主要材料、设备及其预算造价的单价等相关内容。</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（2）采用综合评估法评标办法须发布的工程预算造价中环境保护费、文明施工费、安全施工费、临时设施费、大型机械检测费、优良工程施工增加费金额等相关内容。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成交供应商须无条件参与其编制项目的清单核对工作，并对清单核对的准确性承担相应责任。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双方约定的采购人应提供的建设工程造价</w:t>
      </w:r>
      <w:r>
        <w:rPr>
          <w:rFonts w:hint="eastAsia" w:ascii="宋体" w:hAnsi="宋体" w:eastAsia="宋体" w:cs="宋体"/>
          <w:color w:val="000000"/>
          <w:sz w:val="24"/>
          <w:szCs w:val="24"/>
          <w:highlight w:val="none"/>
          <w:lang w:eastAsia="zh-CN"/>
        </w:rPr>
        <w:t>预算编制服务</w:t>
      </w:r>
      <w:r>
        <w:rPr>
          <w:rFonts w:hint="eastAsia" w:ascii="宋体" w:hAnsi="宋体" w:eastAsia="宋体" w:cs="宋体"/>
          <w:color w:val="000000"/>
          <w:sz w:val="24"/>
          <w:szCs w:val="24"/>
          <w:highlight w:val="none"/>
        </w:rPr>
        <w:t>材料及提供时间：</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成交供应商应在收到采购人提交的图纸等资料文件后立即展开预算编制服务工作，若对所提供的资料存在疑义或不完善之处，应在3日内一次性将问题书面回复采购人，同时提交</w:t>
      </w:r>
      <w:r>
        <w:rPr>
          <w:rFonts w:hint="eastAsia" w:ascii="宋体" w:hAnsi="宋体" w:eastAsia="宋体" w:cs="宋体"/>
          <w:color w:val="000000"/>
          <w:sz w:val="24"/>
          <w:szCs w:val="24"/>
          <w:highlight w:val="none"/>
          <w:lang w:eastAsia="zh-CN"/>
        </w:rPr>
        <w:t>造价</w:t>
      </w:r>
      <w:r>
        <w:rPr>
          <w:rFonts w:hint="eastAsia" w:ascii="宋体" w:hAnsi="宋体" w:eastAsia="宋体" w:cs="宋体"/>
          <w:color w:val="000000"/>
          <w:sz w:val="24"/>
          <w:szCs w:val="24"/>
          <w:highlight w:val="none"/>
        </w:rPr>
        <w:t>单位并与其沟通；采购人应在3日内对成交供应商书面提交并要求做出答复的事宜做出书面答复。</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未经采购人许可，成交供应商不得向第三人泄露采购人提供的任何资料，亦不得泄露与实施工程有关的第三人所提供的保密资料。</w:t>
      </w:r>
    </w:p>
    <w:p>
      <w:pPr>
        <w:pStyle w:val="29"/>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p>
    <w:p>
      <w:pPr>
        <w:keepNext w:val="0"/>
        <w:keepLines w:val="0"/>
        <w:pageBreakBefore w:val="0"/>
        <w:widowControl/>
        <w:kinsoku/>
        <w:wordWrap/>
        <w:overflowPunct/>
        <w:topLinePunct w:val="0"/>
        <w:bidi w:val="0"/>
        <w:snapToGrid/>
        <w:spacing w:line="360" w:lineRule="auto"/>
        <w:jc w:val="left"/>
        <w:textAlignment w:val="auto"/>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1.交付地点：福建省福州市高新区南屿镇新南大道156号</w:t>
      </w:r>
      <w:r>
        <w:rPr>
          <w:rFonts w:hint="eastAsia" w:ascii="宋体" w:hAnsi="宋体" w:cs="宋体"/>
          <w:b/>
          <w:bCs/>
          <w:color w:val="auto"/>
          <w:kern w:val="0"/>
          <w:sz w:val="24"/>
          <w:highlight w:val="none"/>
          <w:lang w:eastAsia="zh-CN"/>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：合同签订后，成交供应商应在接采购人通知后10日内完成并交付。</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3.交付条件：接采购人通知之日起</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日内提交成果文件。</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eastAsia="zh-CN"/>
        </w:rPr>
        <w:t>是否缴纳</w:t>
      </w:r>
      <w:r>
        <w:rPr>
          <w:rFonts w:hint="eastAsia" w:ascii="宋体" w:hAnsi="宋体" w:cs="宋体"/>
          <w:b/>
          <w:bCs/>
          <w:color w:val="auto"/>
          <w:sz w:val="24"/>
          <w:highlight w:val="none"/>
        </w:rPr>
        <w:t>履约保证金：</w:t>
      </w:r>
      <w:r>
        <w:rPr>
          <w:rFonts w:hint="eastAsia" w:ascii="宋体" w:hAnsi="宋体" w:cs="宋体"/>
          <w:b/>
          <w:bCs/>
          <w:color w:val="auto"/>
          <w:sz w:val="24"/>
          <w:highlight w:val="none"/>
          <w:lang w:eastAsia="zh-CN"/>
        </w:rPr>
        <w:t>否。</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.支付方式：在</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提交合格有效的造价咨询成果</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正规等额增值税普通发票后，</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个工作日内支付造价咨询费用。</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验收要求：采购人按网上竞价文件要求、成交供应商响应文件要求、以及行业有关标准、技术规范组织验收，若验收不能符合要求，采购人将按合同商务条款的有关规定执行。</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.1成交供应商必须按响应文件所列响应人员配备到位。在本合同履行过程中，人员应保持稳定，以保证编制工作正常进行。若未经采购人同意更换项目负责人，每更换一人次扣减</w:t>
      </w:r>
      <w:r>
        <w:rPr>
          <w:rFonts w:hint="eastAsia" w:ascii="宋体" w:hAnsi="宋体" w:cs="宋体"/>
          <w:sz w:val="24"/>
          <w:szCs w:val="24"/>
          <w:highlight w:val="none"/>
          <w:lang w:val="en-US" w:eastAsia="zh-CN"/>
        </w:rPr>
        <w:t>合同金额的10%</w:t>
      </w:r>
      <w:r>
        <w:rPr>
          <w:rFonts w:hint="eastAsia" w:ascii="宋体" w:hAnsi="宋体" w:eastAsia="宋体" w:cs="宋体"/>
          <w:sz w:val="24"/>
          <w:szCs w:val="24"/>
          <w:highlight w:val="none"/>
        </w:rPr>
        <w:t>；未经采购人同意更换项目组其他人员，每更换一人扣减</w:t>
      </w:r>
      <w:r>
        <w:rPr>
          <w:rFonts w:hint="eastAsia" w:ascii="宋体" w:hAnsi="宋体" w:cs="宋体"/>
          <w:sz w:val="24"/>
          <w:szCs w:val="24"/>
          <w:highlight w:val="none"/>
          <w:lang w:val="en-US" w:eastAsia="zh-CN"/>
        </w:rPr>
        <w:t>合同金额的5%</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.2若成交供应商未能在合同约定时限内完成编制任务时，编制时限延误每增加一天，扣减</w:t>
      </w:r>
      <w:r>
        <w:rPr>
          <w:rFonts w:hint="eastAsia" w:ascii="宋体" w:hAnsi="宋体" w:cs="宋体"/>
          <w:sz w:val="24"/>
          <w:szCs w:val="24"/>
          <w:highlight w:val="none"/>
          <w:lang w:val="en-US" w:eastAsia="zh-CN"/>
        </w:rPr>
        <w:t>合同金额2%</w:t>
      </w:r>
      <w:r>
        <w:rPr>
          <w:rFonts w:hint="eastAsia" w:ascii="宋体" w:hAnsi="宋体" w:eastAsia="宋体" w:cs="宋体"/>
          <w:sz w:val="24"/>
          <w:szCs w:val="24"/>
          <w:highlight w:val="none"/>
        </w:rPr>
        <w:t>；若发生延误，成交供应商需对延误事项进行说明，经采购人书面认可免除违约责任后，可不计扣减。</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.3成交供应商项目负责人或专业造价人员，应根据工程实际需求或应采购人要求，配合进行查看现场或参加工程相关会议。若未履行相关配合义务，经采购人通知后拒不改正的，则采购人有权对成交供应商处以</w:t>
      </w:r>
      <w:r>
        <w:rPr>
          <w:rFonts w:hint="eastAsia" w:ascii="宋体" w:hAnsi="宋体" w:cs="宋体"/>
          <w:sz w:val="24"/>
          <w:szCs w:val="24"/>
          <w:highlight w:val="none"/>
          <w:lang w:val="en-US" w:eastAsia="zh-CN"/>
        </w:rPr>
        <w:t>合同金额10%</w:t>
      </w:r>
      <w:r>
        <w:rPr>
          <w:rFonts w:hint="eastAsia" w:ascii="宋体" w:hAnsi="宋体" w:eastAsia="宋体" w:cs="宋体"/>
          <w:sz w:val="24"/>
          <w:szCs w:val="24"/>
          <w:highlight w:val="none"/>
        </w:rPr>
        <w:t>的违约金。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.4采购人有权通过复审或聘请独立第三方审查等方式对成交供应商成果文件质量进行监督。对成交供应商成果文件出现误差率绝对值超过5%时，则采购人有权对成交供应商处以</w:t>
      </w:r>
      <w:r>
        <w:rPr>
          <w:rFonts w:hint="eastAsia" w:ascii="宋体" w:hAnsi="宋体" w:cs="宋体"/>
          <w:sz w:val="24"/>
          <w:szCs w:val="24"/>
          <w:highlight w:val="none"/>
          <w:lang w:val="en-US" w:eastAsia="zh-CN"/>
        </w:rPr>
        <w:t>合同金额10%</w:t>
      </w:r>
      <w:r>
        <w:rPr>
          <w:rFonts w:hint="eastAsia" w:ascii="宋体" w:hAnsi="宋体" w:eastAsia="宋体" w:cs="宋体"/>
          <w:sz w:val="24"/>
          <w:szCs w:val="24"/>
          <w:highlight w:val="none"/>
        </w:rPr>
        <w:t>的违约金。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.5若成交供应商未能按照本合同约定完成编制工作的内容,</w:t>
      </w:r>
      <w:r>
        <w:rPr>
          <w:rFonts w:hint="eastAsia" w:ascii="宋体" w:hAnsi="宋体" w:cs="宋体"/>
          <w:sz w:val="24"/>
          <w:szCs w:val="24"/>
          <w:highlight w:val="none"/>
          <w:lang w:val="en-US" w:eastAsia="zh-CN"/>
        </w:rPr>
        <w:t>采购人有权解除合同，并有权向成交供应商索赔</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.6成交供应商出现下列情形时，采购人有权解除合同，不向成交供应商支付任何编制费用，同时有权要求成交供应商赔偿给采购人造成的损失。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.6.1接受可能影响公正执行职务的不当利益。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.6.2隐瞒采购人违反国家财经法纪行为。</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.6.3泄露采购人的商业秘密。</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.6.4与项目业主、代建、施工、监理、设计等单位串通舞弊。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.6.5成交供应商项目负责人或专业造价人员未能根据采购人的要求履行配合义务，累计发生3次及以上。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.6.6成交供应商未能履行合同和网上竞价文件、响应文件规定的其他任何义务和承诺，采购人发出的违约通知后30天内（或经采购人书面确定的更长时间内）仍未纠正的。</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.7其他违法违规违纪行为：</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.7.1因成交供应商违反法律规定或合同约定给采购人造成损失的，成交供应商应当赔偿采购人全部损失。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.7.2若成交供应商单方面解除合同，则采购人有权要求成交供应商按合同总额的10%支付违约金，违约金不足以弥补采购人损失的，成交供应商还应赔偿采购人全部损失。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.8进入行政区有关违约责任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人进入采购人行政区的工作人员必须遵守采购人的工作制度和相关的规定，服从采购人人员的指挥。不得随意进出行政办公楼民警办公室或规定的其他禁止进入区域，若有发现经核查属实的，成交人须马上更换工作人员，情节严重的应承担相应的法律责任。发生二次（含）以上或造成严重后果的，采购人有权单方解除合同并不退还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4"/>
          <w:rFonts w:hint="eastAsia"/>
          <w:color w:val="auto"/>
          <w:highlight w:val="none"/>
        </w:rPr>
        <w:t>.诉讼相关费用承担：</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lang w:val="zh-TW"/>
        </w:rPr>
        <w:t>不可抗力</w:t>
      </w:r>
      <w:r>
        <w:rPr>
          <w:rFonts w:hint="eastAsia"/>
          <w:b/>
          <w:bCs/>
          <w:color w:val="auto"/>
          <w:highlight w:val="none"/>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10</w:t>
      </w:r>
      <w:r>
        <w:rPr>
          <w:rStyle w:val="24"/>
          <w:rFonts w:hint="eastAsia"/>
          <w:color w:val="auto"/>
          <w:highlight w:val="none"/>
        </w:rPr>
        <w:t>.专利权及知识产权：</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Style w:val="24"/>
          <w:rFonts w:hint="eastAsia"/>
          <w:b w:val="0"/>
          <w:bCs w:val="0"/>
          <w:color w:val="auto"/>
          <w:highlight w:val="none"/>
        </w:rPr>
      </w:pPr>
      <w:r>
        <w:rPr>
          <w:rStyle w:val="24"/>
          <w:rFonts w:hint="eastAsia"/>
          <w:b w:val="0"/>
          <w:bCs w:val="0"/>
          <w:color w:val="auto"/>
          <w:highlight w:val="none"/>
        </w:rPr>
        <w:t>成交供应商提供的服务中有涉及知识产权的部分应符合国家知识产权法律、法规的规定；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.保密条款：</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6"/>
              <w:wordWrap w:val="0"/>
              <w:spacing w:beforeAutospacing="0" w:afterAutospacing="0" w:line="360" w:lineRule="auto"/>
              <w:jc w:val="center"/>
              <w:rPr>
                <w:color w:val="auto"/>
                <w:highlight w:val="none"/>
              </w:rPr>
            </w:pPr>
          </w:p>
        </w:tc>
        <w:tc>
          <w:tcPr>
            <w:tcW w:w="954" w:type="pct"/>
            <w:vAlign w:val="center"/>
          </w:tcPr>
          <w:p>
            <w:pPr>
              <w:pStyle w:val="16"/>
              <w:wordWrap w:val="0"/>
              <w:spacing w:beforeAutospacing="0" w:afterAutospacing="0" w:line="360" w:lineRule="auto"/>
              <w:jc w:val="center"/>
              <w:rPr>
                <w:color w:val="auto"/>
                <w:highlight w:val="none"/>
              </w:rPr>
            </w:pPr>
          </w:p>
        </w:tc>
        <w:tc>
          <w:tcPr>
            <w:tcW w:w="354"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8"/>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0"/>
        <w:spacing w:line="360" w:lineRule="auto"/>
        <w:rPr>
          <w:color w:val="auto"/>
          <w:sz w:val="24"/>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7"/>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9"/>
        <w:spacing w:line="360" w:lineRule="auto"/>
        <w:ind w:firstLine="210"/>
        <w:rPr>
          <w:color w:val="auto"/>
          <w:highlight w:val="none"/>
        </w:rPr>
      </w:pPr>
    </w:p>
    <w:p>
      <w:pPr>
        <w:pStyle w:val="5"/>
        <w:spacing w:line="360" w:lineRule="auto"/>
        <w:rPr>
          <w:color w:val="auto"/>
          <w:highlight w:val="none"/>
        </w:rPr>
      </w:pPr>
    </w:p>
    <w:p>
      <w:pPr>
        <w:pStyle w:val="9"/>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30"/>
        <w:spacing w:after="120" w:line="360" w:lineRule="auto"/>
        <w:outlineLvl w:val="9"/>
        <w:rPr>
          <w:rStyle w:val="31"/>
          <w:rFonts w:hAnsi="宋体" w:cs="宋体"/>
          <w:b/>
          <w:bCs/>
          <w:color w:val="auto"/>
          <w:sz w:val="44"/>
          <w:szCs w:val="44"/>
          <w:highlight w:val="none"/>
        </w:rPr>
      </w:pPr>
    </w:p>
    <w:p>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30"/>
        <w:spacing w:after="120" w:line="360" w:lineRule="auto"/>
        <w:outlineLvl w:val="9"/>
        <w:rPr>
          <w:rFonts w:hAnsi="宋体" w:cs="宋体"/>
          <w:b/>
          <w:color w:val="auto"/>
          <w:sz w:val="36"/>
          <w:highlight w:val="none"/>
        </w:rPr>
      </w:pPr>
    </w:p>
    <w:p>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30"/>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30"/>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4"/>
                <w:rFonts w:hint="eastAsia"/>
                <w:color w:val="auto"/>
                <w:highlight w:val="none"/>
              </w:rPr>
              <w:t> </w:t>
            </w:r>
          </w:p>
          <w:p>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4"/>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4"/>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4"/>
        <w:spacing w:line="360" w:lineRule="auto"/>
        <w:ind w:firstLine="480"/>
        <w:jc w:val="right"/>
        <w:rPr>
          <w:rFonts w:hint="default" w:ascii="宋体" w:hAnsi="宋体" w:cs="宋体"/>
          <w:color w:val="auto"/>
          <w:sz w:val="24"/>
          <w:szCs w:val="24"/>
          <w:highlight w:val="none"/>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30"/>
        <w:spacing w:after="120" w:line="360" w:lineRule="auto"/>
        <w:outlineLvl w:val="9"/>
        <w:rPr>
          <w:rStyle w:val="31"/>
          <w:rFonts w:hAnsi="宋体" w:cs="宋体"/>
          <w:b/>
          <w:bCs/>
          <w:color w:val="auto"/>
          <w:sz w:val="44"/>
          <w:szCs w:val="44"/>
          <w:highlight w:val="none"/>
        </w:rPr>
      </w:pPr>
    </w:p>
    <w:p>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0"/>
        <w:spacing w:line="360" w:lineRule="auto"/>
        <w:rPr>
          <w:color w:val="auto"/>
          <w:highlight w:val="none"/>
        </w:rPr>
      </w:pPr>
    </w:p>
    <w:p>
      <w:pPr>
        <w:rPr>
          <w:color w:val="auto"/>
          <w:highlight w:val="none"/>
        </w:rPr>
      </w:pPr>
      <w:r>
        <w:rPr>
          <w:color w:val="auto"/>
          <w:highlight w:val="none"/>
        </w:rPr>
        <w:br w:type="page"/>
      </w:r>
    </w:p>
    <w:p>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534"/>
        <w:gridCol w:w="1576"/>
        <w:gridCol w:w="1343"/>
        <w:gridCol w:w="200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7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79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7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08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75" w:type="pct"/>
            <w:vAlign w:val="center"/>
          </w:tcPr>
          <w:p>
            <w:pPr>
              <w:snapToGrid w:val="0"/>
              <w:spacing w:line="360" w:lineRule="auto"/>
              <w:jc w:val="center"/>
              <w:rPr>
                <w:rFonts w:ascii="宋体" w:hAnsi="宋体"/>
                <w:color w:val="auto"/>
                <w:sz w:val="24"/>
                <w:highlight w:val="none"/>
              </w:rPr>
            </w:pPr>
          </w:p>
        </w:tc>
        <w:tc>
          <w:tcPr>
            <w:tcW w:w="770" w:type="pct"/>
            <w:vAlign w:val="center"/>
          </w:tcPr>
          <w:p>
            <w:pPr>
              <w:snapToGrid w:val="0"/>
              <w:spacing w:line="360" w:lineRule="auto"/>
              <w:jc w:val="center"/>
              <w:rPr>
                <w:rFonts w:ascii="宋体" w:hAnsi="宋体"/>
                <w:color w:val="auto"/>
                <w:sz w:val="24"/>
                <w:highlight w:val="none"/>
              </w:rPr>
            </w:pPr>
          </w:p>
        </w:tc>
        <w:tc>
          <w:tcPr>
            <w:tcW w:w="791" w:type="pct"/>
            <w:vAlign w:val="center"/>
          </w:tcPr>
          <w:p>
            <w:pPr>
              <w:snapToGrid w:val="0"/>
              <w:spacing w:line="360" w:lineRule="auto"/>
              <w:jc w:val="center"/>
              <w:rPr>
                <w:rFonts w:ascii="宋体" w:hAnsi="宋体"/>
                <w:color w:val="auto"/>
                <w:sz w:val="24"/>
                <w:highlight w:val="none"/>
              </w:rPr>
            </w:pPr>
          </w:p>
        </w:tc>
        <w:tc>
          <w:tcPr>
            <w:tcW w:w="674" w:type="pct"/>
            <w:vAlign w:val="center"/>
          </w:tcPr>
          <w:p>
            <w:pPr>
              <w:snapToGrid w:val="0"/>
              <w:spacing w:line="360" w:lineRule="auto"/>
              <w:jc w:val="center"/>
              <w:rPr>
                <w:rFonts w:ascii="宋体" w:hAnsi="宋体"/>
                <w:color w:val="auto"/>
                <w:sz w:val="24"/>
                <w:highlight w:val="none"/>
              </w:rPr>
            </w:pPr>
          </w:p>
        </w:tc>
        <w:tc>
          <w:tcPr>
            <w:tcW w:w="1005" w:type="pct"/>
            <w:vAlign w:val="center"/>
          </w:tcPr>
          <w:p>
            <w:pPr>
              <w:snapToGrid w:val="0"/>
              <w:spacing w:line="360" w:lineRule="auto"/>
              <w:jc w:val="center"/>
              <w:rPr>
                <w:rFonts w:ascii="宋体" w:hAnsi="宋体" w:cs="宋体"/>
                <w:color w:val="auto"/>
                <w:kern w:val="0"/>
                <w:sz w:val="24"/>
                <w:highlight w:val="none"/>
              </w:rPr>
            </w:pPr>
          </w:p>
        </w:tc>
        <w:tc>
          <w:tcPr>
            <w:tcW w:w="1082" w:type="pct"/>
            <w:vAlign w:val="center"/>
          </w:tcPr>
          <w:p>
            <w:pPr>
              <w:widowControl/>
              <w:spacing w:line="360" w:lineRule="auto"/>
              <w:jc w:val="left"/>
              <w:rPr>
                <w:rFonts w:ascii="宋体" w:hAnsi="宋体"/>
                <w:color w:val="auto"/>
                <w:sz w:val="24"/>
                <w:highlight w:val="none"/>
              </w:rPr>
            </w:pPr>
          </w:p>
        </w:tc>
      </w:tr>
    </w:tbl>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854"/>
        <w:gridCol w:w="2121"/>
        <w:gridCol w:w="1384"/>
        <w:gridCol w:w="1737"/>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29"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69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9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2" w:type="pct"/>
            <w:vAlign w:val="center"/>
          </w:tcPr>
          <w:p>
            <w:pPr>
              <w:snapToGrid w:val="0"/>
              <w:spacing w:line="360" w:lineRule="auto"/>
              <w:jc w:val="center"/>
              <w:rPr>
                <w:rFonts w:ascii="宋体" w:hAnsi="宋体" w:cs="宋体"/>
                <w:color w:val="auto"/>
                <w:kern w:val="0"/>
                <w:sz w:val="24"/>
                <w:highlight w:val="none"/>
              </w:rPr>
            </w:pPr>
          </w:p>
        </w:tc>
        <w:tc>
          <w:tcPr>
            <w:tcW w:w="1493"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2" w:type="pct"/>
            <w:vAlign w:val="center"/>
          </w:tcPr>
          <w:p>
            <w:pPr>
              <w:snapToGrid w:val="0"/>
              <w:spacing w:line="360" w:lineRule="auto"/>
              <w:jc w:val="center"/>
              <w:rPr>
                <w:rFonts w:ascii="宋体" w:hAnsi="宋体" w:cs="宋体"/>
                <w:color w:val="auto"/>
                <w:kern w:val="0"/>
                <w:sz w:val="24"/>
                <w:highlight w:val="none"/>
              </w:rPr>
            </w:pPr>
          </w:p>
        </w:tc>
        <w:tc>
          <w:tcPr>
            <w:tcW w:w="1493"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2" w:type="pct"/>
            <w:vAlign w:val="center"/>
          </w:tcPr>
          <w:p>
            <w:pPr>
              <w:snapToGrid w:val="0"/>
              <w:spacing w:line="360" w:lineRule="auto"/>
              <w:jc w:val="center"/>
              <w:rPr>
                <w:rFonts w:ascii="宋体" w:hAnsi="宋体" w:cs="宋体"/>
                <w:color w:val="auto"/>
                <w:kern w:val="0"/>
                <w:sz w:val="24"/>
                <w:highlight w:val="none"/>
              </w:rPr>
            </w:pPr>
          </w:p>
        </w:tc>
        <w:tc>
          <w:tcPr>
            <w:tcW w:w="1493"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6"/>
            <w:vAlign w:val="center"/>
          </w:tcPr>
          <w:p>
            <w:pPr>
              <w:widowControl/>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合同包总价：</w:t>
            </w:r>
            <w:r>
              <w:rPr>
                <w:rFonts w:hint="eastAsia" w:ascii="宋体" w:hAnsi="宋体"/>
                <w:color w:val="auto"/>
                <w:sz w:val="24"/>
                <w:highlight w:val="none"/>
                <w:lang w:val="en-US" w:eastAsia="zh-CN"/>
              </w:rPr>
              <w:t xml:space="preserve">    </w:t>
            </w:r>
          </w:p>
        </w:tc>
      </w:tr>
    </w:tbl>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38C0F6F"/>
    <w:rsid w:val="04EF2DE0"/>
    <w:rsid w:val="07690EF5"/>
    <w:rsid w:val="08143E14"/>
    <w:rsid w:val="086B029A"/>
    <w:rsid w:val="09A06EBC"/>
    <w:rsid w:val="09FF22DF"/>
    <w:rsid w:val="0AA40FF3"/>
    <w:rsid w:val="0C126086"/>
    <w:rsid w:val="0C38202B"/>
    <w:rsid w:val="0D4E228E"/>
    <w:rsid w:val="0DEE133C"/>
    <w:rsid w:val="0EF55D6D"/>
    <w:rsid w:val="12E8710C"/>
    <w:rsid w:val="14000B07"/>
    <w:rsid w:val="14942B05"/>
    <w:rsid w:val="15235970"/>
    <w:rsid w:val="17324C05"/>
    <w:rsid w:val="176A2F1F"/>
    <w:rsid w:val="191A53F6"/>
    <w:rsid w:val="19413534"/>
    <w:rsid w:val="1A53594C"/>
    <w:rsid w:val="1AD77600"/>
    <w:rsid w:val="1ADE3486"/>
    <w:rsid w:val="1CA26245"/>
    <w:rsid w:val="1DFC4E79"/>
    <w:rsid w:val="1E2C09AB"/>
    <w:rsid w:val="1E5B43D2"/>
    <w:rsid w:val="1E7B7C40"/>
    <w:rsid w:val="1E897F61"/>
    <w:rsid w:val="1FB35AA9"/>
    <w:rsid w:val="23C8685E"/>
    <w:rsid w:val="246E43C5"/>
    <w:rsid w:val="2778394C"/>
    <w:rsid w:val="27C42B43"/>
    <w:rsid w:val="28A11BB3"/>
    <w:rsid w:val="2A4479C0"/>
    <w:rsid w:val="2BB5293D"/>
    <w:rsid w:val="2C32291E"/>
    <w:rsid w:val="2EBA780E"/>
    <w:rsid w:val="2F7107B5"/>
    <w:rsid w:val="314B5F88"/>
    <w:rsid w:val="3214608E"/>
    <w:rsid w:val="36676F28"/>
    <w:rsid w:val="37114C9C"/>
    <w:rsid w:val="37597057"/>
    <w:rsid w:val="38057A77"/>
    <w:rsid w:val="381051E0"/>
    <w:rsid w:val="38AD2C56"/>
    <w:rsid w:val="39187B0A"/>
    <w:rsid w:val="3AB52C3C"/>
    <w:rsid w:val="3B194B55"/>
    <w:rsid w:val="3D6C7658"/>
    <w:rsid w:val="3DC2628F"/>
    <w:rsid w:val="3E225B46"/>
    <w:rsid w:val="3ED122A0"/>
    <w:rsid w:val="3F850CF3"/>
    <w:rsid w:val="42B81734"/>
    <w:rsid w:val="4564374E"/>
    <w:rsid w:val="47D84234"/>
    <w:rsid w:val="489259CA"/>
    <w:rsid w:val="4CE2174D"/>
    <w:rsid w:val="4D66222C"/>
    <w:rsid w:val="4D824513"/>
    <w:rsid w:val="4DB8035E"/>
    <w:rsid w:val="4E182762"/>
    <w:rsid w:val="4EBC7E36"/>
    <w:rsid w:val="50E86392"/>
    <w:rsid w:val="51497716"/>
    <w:rsid w:val="51B74CC0"/>
    <w:rsid w:val="51C7007A"/>
    <w:rsid w:val="522C2C59"/>
    <w:rsid w:val="52886937"/>
    <w:rsid w:val="565A3BC7"/>
    <w:rsid w:val="5671656A"/>
    <w:rsid w:val="572F491B"/>
    <w:rsid w:val="57C30901"/>
    <w:rsid w:val="58F506B4"/>
    <w:rsid w:val="5B761B8D"/>
    <w:rsid w:val="5C8A37E8"/>
    <w:rsid w:val="5D7850A1"/>
    <w:rsid w:val="5E741D96"/>
    <w:rsid w:val="5F480A54"/>
    <w:rsid w:val="616C6662"/>
    <w:rsid w:val="641847D4"/>
    <w:rsid w:val="66E85E24"/>
    <w:rsid w:val="67BA53B7"/>
    <w:rsid w:val="69E70454"/>
    <w:rsid w:val="6A1A1EE9"/>
    <w:rsid w:val="6AB61037"/>
    <w:rsid w:val="6F481423"/>
    <w:rsid w:val="74B308B5"/>
    <w:rsid w:val="75247769"/>
    <w:rsid w:val="76D85F24"/>
    <w:rsid w:val="77A44224"/>
    <w:rsid w:val="78935FD8"/>
    <w:rsid w:val="79A7628E"/>
    <w:rsid w:val="7D3F0A9F"/>
    <w:rsid w:val="7D731875"/>
    <w:rsid w:val="7F271109"/>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next w:val="1"/>
    <w:autoRedefine/>
    <w:qFormat/>
    <w:uiPriority w:val="99"/>
    <w:pPr>
      <w:shd w:val="clear" w:color="000000" w:fill="00007F"/>
    </w:pPr>
    <w:rPr>
      <w:kern w:val="1"/>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6"/>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styleId="27">
    <w:name w:val="annotation reference"/>
    <w:basedOn w:val="23"/>
    <w:autoRedefine/>
    <w:qFormat/>
    <w:uiPriority w:val="0"/>
    <w:rPr>
      <w:sz w:val="21"/>
      <w:szCs w:val="21"/>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样式3"/>
    <w:basedOn w:val="11"/>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3"/>
    <w:link w:val="15"/>
    <w:autoRedefine/>
    <w:qFormat/>
    <w:uiPriority w:val="0"/>
    <w:rPr>
      <w:rFonts w:ascii="Calibri" w:hAnsi="Calibri"/>
      <w:kern w:val="2"/>
      <w:sz w:val="18"/>
      <w:szCs w:val="18"/>
    </w:rPr>
  </w:style>
  <w:style w:type="character" w:customStyle="1" w:styleId="36">
    <w:name w:val="批注框文本 Char"/>
    <w:basedOn w:val="23"/>
    <w:link w:val="13"/>
    <w:autoRedefine/>
    <w:qFormat/>
    <w:uiPriority w:val="0"/>
    <w:rPr>
      <w:rFonts w:ascii="Calibri" w:hAnsi="Calibri"/>
      <w:kern w:val="2"/>
      <w:sz w:val="18"/>
      <w:szCs w:val="18"/>
    </w:rPr>
  </w:style>
  <w:style w:type="character" w:customStyle="1" w:styleId="37">
    <w:name w:val="font31"/>
    <w:basedOn w:val="23"/>
    <w:autoRedefine/>
    <w:qFormat/>
    <w:uiPriority w:val="0"/>
    <w:rPr>
      <w:rFonts w:hint="eastAsia" w:ascii="宋体" w:hAnsi="宋体" w:eastAsia="宋体" w:cs="宋体"/>
      <w:color w:val="000000"/>
      <w:sz w:val="22"/>
      <w:szCs w:val="22"/>
      <w:u w:val="none"/>
    </w:rPr>
  </w:style>
  <w:style w:type="paragraph" w:customStyle="1" w:styleId="38">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14799</Words>
  <Characters>15525</Characters>
  <Lines>186</Lines>
  <Paragraphs>52</Paragraphs>
  <TotalTime>14</TotalTime>
  <ScaleCrop>false</ScaleCrop>
  <LinksUpToDate>false</LinksUpToDate>
  <CharactersWithSpaces>16209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2024-07-08T07:33:04Z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C91F2E7E4AEB41B98AAD5379765A19D6_13</vt:lpwstr>
  </property>
</Properties>
</file>